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503</w:t>
      </w:r>
    </w:p>
    <w:p>
      <w:r>
        <w:t>Bundesgericht (BGE), 2001-08-24, DE</w:t>
      </w:r>
    </w:p>
    <w:p>
      <w:r>
        <w:rPr>
          <w:b/>
        </w:rPr>
        <w:t xml:space="preserve">Quelle: </w:t>
      </w:r>
      <w:r>
        <w:t>https://mcp.opencaselaw.ch/entscheid/bge_127 III 503</w:t>
      </w:r>
    </w:p>
    <w:p>
      <w:r>
        <w:t>FR: ATF 127 III 503</w:t>
      </w:r>
    </w:p>
    <w:p>
      <w:r>
        <w:t>IT: DTF 127 III 503</w:t>
      </w:r>
    </w:p>
    <w:p>
      <w:pPr>
        <w:pStyle w:val="Heading2"/>
      </w:pPr>
      <w:r>
        <w:t>Regeste</w:t>
      </w:r>
    </w:p>
    <w:p>
      <w:r>
        <w:t>Regeste Kindesunterhalt; Abänderungsklage des Unterhaltsschuldners (Art. 286 Abs. 2 ZGB); Anwendungsbereich von Art. 279 Abs. 1 ZGB. Zugunsten des Unterhaltsschuldners ist die in Art. 279 Abs. 1 ZGB vorgesehene einjährige Rückwirkung ab Klageerhebung nicht sinngemäss anzuwenden (E. 3b/aa).</w:t>
      </w:r>
    </w:p>
    <w:p>
      <w:pPr>
        <w:pStyle w:val="Heading2"/>
      </w:pPr>
      <w:r>
        <w:t>Erwägungen</w:t>
      </w:r>
    </w:p>
    <w:p>
      <w:r>
        <w:rPr>
          <w:b/>
        </w:rPr>
        <w:t>E. 3</w:t>
      </w:r>
    </w:p>
    <w:p>
      <w:r>
        <w:t>b/aa) Nach der überwiegenden Lehre gilt der in Art. 279 Abs. 1 ZGB festgeschriebene Grundsatz, dass das Kind nicht nur für die Zukunft, sondern auch für das Jahr vor der Klageerhebung auf Leistung des Unterhalts klagen kann, sinngemäss auch für den auf Abänderung klagenden Unterhaltsschuldner (HEGNAUER, Berner Kommentar, N. 94 zu Art. 286 ZGB ; derselbe, Aktuelle Fragen der elterlichen Unterhaltspflicht, in: ZVW 1990 S. 48; WULLSCHLEGER, Praxiskommentar Scheidungsrecht, Basel 2000, N. 15 zu Art. 286 ZGB ). Nur HAUSHEER/SPYCHER (in: Handbuch des Unterhaltsrechts, Bern 1997, N. 09.61 f.) sprechen sich gegen die einjährige Rückwirkung der Abänderungsklage nach dem Vorbild des Art. 279 Abs. 1 ZGB aus. Sie begründen dies unter anderem damit, Art. 279 Abs. 1 ZGB enthalte von seinem Zweck her eine Privilegierung des BGE 127 III 503 S. 505 Kindes, das darauf angewiesen ist, seinen Unterhaltsanspruch auf gerechtlichem Wege geltend zu machen. Es sei nicht folgerichtig, die Vorzugsstellung der einjährigen Rückwirkung auch dem Unterhaltsschuldner angedeihen zu lassen, der auf Abänderung zu seinen Gunsten klagt. Zu bedenken sei auch, dass die bisherige Rechtsprechung zur Abänderung von Scheidungsrenten die Wirkung des Abänderungsbegehrens im Regelfall frühestens im Zeitpunkt von dessen Einreichung eintreten lässt ( BGE 117 II 368 E. 4c S. 369 ff. mit Hinweisen; Entscheid des Bundesgerichtes vom 2. November 1989 i.S. B., 5C.117/1989, E. 5a, veröffentlicht in: SJ 1990 S. 108; unveröffentlichter Entscheid des Bundesgerichtes vom 14. April 1997 i.S. R., 5C.45/1997, E. 2b). Diese Argumentation überzeugt. So sehr Art. 279 Abs. 1 ZGB bezweckt, dem auf Unterhalt klagenden Kind mit der einjährigen Rückwirkung eine Vorzugsstellung einzuräumen, so wenig ist ein sachlicher Grund ersichtlich, in dieser Beziehung den Unterhaltsschuldner, der auf Herabsetzung des Unterhaltsbeitrages klagt, gleich zu behandeln. Seine Lage ist mit jener des klagenden Kindes nicht vergleichbar und folglich ist hinsichtlich der Rückwirkung eine gleichgeartete Schutzbedürftigkeit nicht auszumachen. Die Rückwirkung soll dem Kind ermöglichen, sich vor der Klageerhebung mit dem Unterhaltspflichtigen auf eine vertragliche Einigung zu verständigen, ohne im Falle des Scheiterns der Verhandlungen einen Nachteil gewärtigen zu haben (Botschaft des Bundesrates an die Bundesversammlung über die Änderung des Schweizerischen Zivilgesetzbuches [Kindesverhältnis] vom 5. Juni 1974, BBl 1974 II 58 f. Ziff. 322.41). Anders als bei der Unterhalts- und Abänderungsklage des Kindes, die nach Art. 279 Abs. 1 ZGB rückwirkend für das Jahr vor Klageerhebung erhoben werden kann, ist den Interessen des Unterhaltsschuldners demnach Genüge getan, wenn die Abänderung frühestens ab dem Zeitpunkt der Klageeinreichung wirkt oder, sollte das massgebende Änderungsereignis erst nach der Klageerhebung eintreten, spätestens nach dessen Verwirklichung Wirkung erlangt. Dem Unterhaltsschuldner steht es frei, unmittelbar nach Eintritt der erheblichen Änderung der Verhältnisse auf Abänderung zu klagen und damit eine Herabsetzung mit Wirkung auf den Zeitpunkt der Klageerhebung zu erlangen, so dass es einer (einjährigen) Rückwirkung nicht bedarf und es somit nicht geboten ist, Art. 279 Abs. 1 ZGB über seinen Wortlaut hinaus auch zugunsten des Unterhaltsschuldners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